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line="240" w:lineRule="auto"/>
        <w:ind w:left="0" w:firstLine="0"/>
        <w:jc w:val="left"/>
        <w:rPr>
          <w:rFonts w:ascii="Microsoft YaHei UI" w:hAnsi="Microsoft YaHei UI" w:eastAsia="Microsoft YaHei UI" w:cs="Microsoft YaHei UI"/>
          <w:b w:val="0"/>
          <w:i w:val="0"/>
          <w:caps w:val="0"/>
          <w:color w:val="000000"/>
          <w:spacing w:val="0"/>
          <w:sz w:val="18"/>
          <w:szCs w:val="18"/>
        </w:rPr>
      </w:pPr>
      <w:r>
        <w:rPr>
          <w:rFonts w:hint="eastAsia" w:ascii="宋体" w:hAnsi="宋体" w:eastAsia="宋体" w:cs="宋体"/>
          <w:b/>
          <w:i w:val="0"/>
          <w:caps w:val="0"/>
          <w:color w:val="262626"/>
          <w:spacing w:val="0"/>
          <w:sz w:val="18"/>
          <w:szCs w:val="18"/>
          <w:shd w:val="clear" w:fill="FFFFFF"/>
        </w:rPr>
        <w:t>尊敬的代销商：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ind w:left="0" w:firstLine="0"/>
        <w:textAlignment w:val="baseline"/>
        <w:rPr>
          <w:rFonts w:hint="default" w:ascii="Times New Roman" w:hAnsi="Times New Roman" w:cs="Times New Roman"/>
          <w:b w:val="0"/>
          <w:i w:val="0"/>
          <w:caps w:val="0"/>
          <w:color w:val="666666"/>
          <w:spacing w:val="0"/>
          <w:sz w:val="18"/>
          <w:szCs w:val="18"/>
        </w:rPr>
      </w:pPr>
      <w:r>
        <w:rPr>
          <w:rFonts w:hint="default" w:ascii="Times New Roman" w:hAnsi="Times New Roman" w:cs="Times New Roman"/>
          <w:b/>
          <w:i w:val="0"/>
          <w:caps w:val="0"/>
          <w:color w:val="666666"/>
          <w:spacing w:val="0"/>
          <w:sz w:val="18"/>
          <w:szCs w:val="18"/>
          <w:bdr w:val="none" w:color="auto" w:sz="0" w:space="0"/>
          <w:shd w:val="clear" w:fill="FFFFFF"/>
          <w:vertAlign w:val="baseline"/>
        </w:rPr>
        <w:t> 您好！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根据《关于规范金融机构资产管理业务的指导意见》、《商业银行理财业务监督管理办法》，华夏银行股份有限公司（以下简称：华夏银行）设立了华夏理财有限责任公司（以下简称“华夏理财”）。华夏理财已于2020年9月成立，并作为华夏银行全资子公司，专业从事理财产品发行、投资管理、理财顾问和咨询等相关业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  为保障理财业务整体平稳、健康、合规发展，华夏银行发行的、符合监管要</w:t>
      </w:r>
      <w:bookmarkStart w:id="0" w:name="_GoBack"/>
      <w:bookmarkEnd w:id="0"/>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求的部分理财产品将分批划转至华夏理财，相应的理财产品管理人将由华夏银行变更为华夏理财，理财产品说明书项下华夏银行享有的权利和承担的义务将全部转由华夏理财享有和承担，理财产品说明书同步更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  本批划转理财产品将分别于2021年12月8日和2021年12月10日划转至华夏理财管理，具体划转产品清单及划转日期详见附件。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在相应理财产品划转过程中，华夏理财将切实履行理财产品登记手续，划转后对应理财产品在全国银行业理财信息登记系统中登记的募集起始日、募集结束日、产品起始日将变更为划转当日，但产品的实际起始日和存续期限不受该等变更影响。理财产品销售文件将于移交当日同步更新并可通过销售银行的营业网点或网上银行、手机银行等渠道查看，更新后的销售文件包括华夏银行代理销售个人/机构理财产品协议或华夏理财有限责任公司理财销售协议书、华夏理财产品投资协议、华夏理财个人/机构理财产品风险揭示书、华夏理财个人/机构理财产品投资者权益须知以及产品说明书，主要调整内容包括但不限于：产品名称、产品管理人、产品销售起点等。划转完成后，投资者可按照产品说明书约定，于产品开放日的开放时间进行申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  同时，为了充分保障客户利益与投资安全，华夏理财将自动为划转产品的持有客户开立份额登记账户，投资者持有的划转前理财产品份额将同步划转至划转后的华夏理财相应产品栏目项下。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  此次理财产品管理人变更与相应产品划转，不会对产品投资管理产生实质性影响，所有划转产品均处于正常运作状态，华夏理财将本着勤勉尽职的原则持续为客户提供理财服务。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  如需进行业务咨询或投诉可详询华夏银行各营业网点或电话咨询华夏银行客户服务热线95577。</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  特此公告。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jc w:val="righ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  华夏银行股份有限公司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jc w:val="righ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  华夏理财有限责任公司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jc w:val="right"/>
        <w:textAlignment w:val="baseline"/>
        <w:rPr>
          <w:rFonts w:hint="default" w:ascii="Times New Roman" w:hAnsi="Times New Roman" w:cs="Times New Roman"/>
          <w:color w:val="666666"/>
          <w:sz w:val="18"/>
          <w:szCs w:val="18"/>
        </w:rPr>
      </w:pPr>
      <w:r>
        <w:rPr>
          <w:rFonts w:hint="default" w:ascii="Times New Roman" w:hAnsi="Times New Roman" w:eastAsia="Microsoft YaHei UI" w:cs="Times New Roman"/>
          <w:b/>
          <w:i w:val="0"/>
          <w:caps w:val="0"/>
          <w:color w:val="666666"/>
          <w:spacing w:val="0"/>
          <w:sz w:val="18"/>
          <w:szCs w:val="18"/>
          <w:bdr w:val="none" w:color="auto" w:sz="0" w:space="0"/>
          <w:shd w:val="clear" w:fill="FFFFFF"/>
          <w:vertAlign w:val="baseline"/>
        </w:rPr>
        <w:t>  2021年12月1日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textAlignment w:val="baseline"/>
        <w:rPr>
          <w:rFonts w:hint="default" w:ascii="Times New Roman" w:hAnsi="Times New Roman" w:cs="Times New Roman"/>
          <w:color w:val="666666"/>
          <w:sz w:val="12"/>
          <w:szCs w:val="1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240" w:lineRule="atLeast"/>
        <w:textAlignment w:val="baseline"/>
        <w:rPr>
          <w:rFonts w:hint="default" w:ascii="Times New Roman" w:hAnsi="Times New Roman" w:cs="Times New Roman"/>
          <w:color w:val="666666"/>
          <w:sz w:val="12"/>
          <w:szCs w:val="12"/>
        </w:rPr>
      </w:pPr>
      <w:r>
        <w:rPr>
          <w:rFonts w:hint="default" w:ascii="Times New Roman" w:hAnsi="Times New Roman" w:eastAsia="Microsoft YaHei UI" w:cs="Times New Roman"/>
          <w:b/>
          <w:i w:val="0"/>
          <w:caps w:val="0"/>
          <w:color w:val="666666"/>
          <w:spacing w:val="0"/>
          <w:sz w:val="12"/>
          <w:szCs w:val="12"/>
          <w:bdr w:val="none" w:color="auto" w:sz="0" w:space="0"/>
          <w:shd w:val="clear" w:fill="FFFFFF"/>
          <w:vertAlign w:val="baseline"/>
        </w:rPr>
        <w:t>  附件：本批划转产品清单</w:t>
      </w:r>
    </w:p>
    <w:tbl>
      <w:tblPr>
        <w:tblW w:w="0" w:type="auto"/>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240"/>
        <w:gridCol w:w="1310"/>
        <w:gridCol w:w="810"/>
        <w:gridCol w:w="977"/>
        <w:gridCol w:w="970"/>
        <w:gridCol w:w="870"/>
        <w:gridCol w:w="133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b/>
                <w:color w:val="666666"/>
                <w:kern w:val="0"/>
                <w:sz w:val="12"/>
                <w:szCs w:val="12"/>
                <w:bdr w:val="none" w:color="auto" w:sz="0" w:space="0"/>
                <w:vertAlign w:val="baseline"/>
                <w:lang w:val="en-US" w:eastAsia="zh-CN" w:bidi="ar"/>
              </w:rPr>
              <w:t>序号</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b/>
                <w:color w:val="666666"/>
                <w:kern w:val="0"/>
                <w:sz w:val="12"/>
                <w:szCs w:val="12"/>
                <w:bdr w:val="none" w:color="auto" w:sz="0" w:space="0"/>
                <w:vertAlign w:val="baseline"/>
                <w:lang w:val="en-US" w:eastAsia="zh-CN" w:bidi="ar"/>
              </w:rPr>
              <w:t>拟划转产品名称</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b/>
                <w:color w:val="666666"/>
                <w:kern w:val="0"/>
                <w:sz w:val="12"/>
                <w:szCs w:val="12"/>
                <w:bdr w:val="none" w:color="auto" w:sz="0" w:space="0"/>
                <w:vertAlign w:val="baseline"/>
                <w:lang w:val="en-US" w:eastAsia="zh-CN" w:bidi="ar"/>
              </w:rPr>
              <w:t>产品代码</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b/>
                <w:color w:val="666666"/>
                <w:kern w:val="0"/>
                <w:sz w:val="12"/>
                <w:szCs w:val="12"/>
                <w:bdr w:val="none" w:color="auto" w:sz="0" w:space="0"/>
                <w:vertAlign w:val="baseline"/>
                <w:lang w:val="en-US" w:eastAsia="zh-CN" w:bidi="ar"/>
              </w:rPr>
              <w:t>产品登记编码（划转前）</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b/>
                <w:color w:val="666666"/>
                <w:kern w:val="0"/>
                <w:sz w:val="12"/>
                <w:szCs w:val="12"/>
                <w:bdr w:val="none" w:color="auto" w:sz="0" w:space="0"/>
                <w:vertAlign w:val="baseline"/>
                <w:lang w:val="en-US" w:eastAsia="zh-CN" w:bidi="ar"/>
              </w:rPr>
              <w:t>产品登记编码（划转后）</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b/>
                <w:color w:val="666666"/>
                <w:kern w:val="0"/>
                <w:sz w:val="12"/>
                <w:szCs w:val="12"/>
                <w:bdr w:val="none" w:color="auto" w:sz="0" w:space="0"/>
                <w:vertAlign w:val="baseline"/>
                <w:lang w:val="en-US" w:eastAsia="zh-CN" w:bidi="ar"/>
              </w:rPr>
              <w:t>划转日期</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b/>
                <w:color w:val="666666"/>
                <w:kern w:val="0"/>
                <w:sz w:val="12"/>
                <w:szCs w:val="12"/>
                <w:bdr w:val="none" w:color="auto" w:sz="0" w:space="0"/>
                <w:vertAlign w:val="baseline"/>
                <w:lang w:val="en-US" w:eastAsia="zh-CN" w:bidi="ar"/>
              </w:rPr>
              <w:t>划转后产品名称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龙盈ESG固定收益类G款11号1045天封闭式理财产品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1912151000406</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C1030419009951</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Z7003921000625</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华夏理财龙盈ESG固定收益类G款11号1045天封闭式理财产品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龙盈ESG固定收益类G款3号三年期封闭式理财产品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1912151000401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C1030419006106</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Z7003921000626</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华夏理财龙盈ESG固定收益类G款3号三年期封闭式理财产品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3</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龙盈ESG混合GS款7号封闭偏股理财产品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211285700408</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C1030421A000001</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Z7003921A000033</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华夏理财龙盈ESG混合GS款7号封闭偏股理财产品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4</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龙盈ESG混合GS款8号一年封闭偏股理财产品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211282800417</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C1030421A000043</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Z7003921A000034</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华夏理财龙盈ESG混合GS款8号一年封闭偏股理财产品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5</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龙盈ESG混合GS款9号封闭偏股理财产品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211282800418</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C1030421A000054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Z7003921A000035</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华夏理财龙盈ESG混合GS款9号封闭偏股理财产品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6</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龙盈固定收益类10号一年封闭理财产品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201215400110</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C1030420003407</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Z7003921000632</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华夏理财龙盈固定收益类10号一年封闭理财产品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7</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龙盈固定收益类11号一年半封闭理财产品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201215400201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C1030420003408</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Z7003921000633</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华夏理财龙盈固定收益类11号一年半封闭理财产品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8</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龙盈固定收益类12号一年半封闭理财产品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201215400202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C1030420003409</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Z7003921000634</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华夏理财龙盈固定收益类12号一年半封闭理财产品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9</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龙盈固定收益类13号一年半封闭理财产品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201215400203</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C1030420003410</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Z7003921000635</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华夏理财龙盈固定收益类13号一年半封闭理财产品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10</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龙盈固定收益类14号一年半封闭理财产品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201215400204</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C1030420003411</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Z7003921000636</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华夏理财龙盈固定收益类14号一年半封闭理财产品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11</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龙盈固定收益类15号一年半封闭理财产品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201215400205</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C1030420003412</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Z7003921000637</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华夏理财龙盈固定收益类15号一年半封闭理财产品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12</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龙盈固定收益类16号一年半封闭理财产品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201215400206</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C1030420003413</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Z7003921000638</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华夏理财龙盈固定收益类16号一年半封闭理财产品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13</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龙盈固定收益类17号一年半封闭理财产品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201215400207</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C1030420003414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Z7003921000639</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华夏理财龙盈固定收益类17号一年半封闭理财产品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14</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龙盈固定收益类18号一年半封闭理财产品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201215400208</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C1030420003415</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Z7003921000640</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华夏理财龙盈固定收益类18号一年半封闭理财产品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15</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龙盈固定收益类19号一年半封闭理财产品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201215400209</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C1030420003416</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Z7003921000641</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华夏理财龙盈固定收益类19号一年半封闭理财产品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16</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龙盈固定收益类20号一年半封闭理财产品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201215400210</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C1030420003417</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Z7003921000642</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华夏理财龙盈固定收益类20号一年半封闭理财产品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17</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龙盈固定收益类21号一年封闭理财产品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201215400111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C1030420003442</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Z7003921000643</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华夏理财龙盈固定收益类21号一年封闭理财产品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18</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龙盈固定收益类22号一年封闭理财产品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201215400112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C1030420003443</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Z7003921000644</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华夏理财龙盈固定收益类22号一年封闭理财产品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19</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龙盈固定收益类23号一年封闭理财产品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201215400113</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C1030420003444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Z7003921000645</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华夏理财龙盈固定收益类23号一年封闭理财产品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龙盈固定收益类24号一年封闭理财产品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201215400114</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C1030420003445</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Z7003921000646</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华夏理财龙盈固定收益类24号一年封闭理财产品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龙盈固定收益类25号一年封闭理财产品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201215400115</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C1030420003446</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Z7003921000647</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华夏理财龙盈固定收益类25号一年封闭理财产品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22</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龙盈固定收益类26号一年封闭理财产品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201215400116</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C1030420003447</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Z7003921000648</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华夏理财龙盈固定收益类26号一年封闭理财产品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23</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龙盈固定收益类27号一年封闭理财产品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201215400117</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C1030420003448</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Z7003921000649</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华夏理财龙盈固定收益类27号一年封闭理财产品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24</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龙盈固定收益类28号一年封闭理财产品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201215400118</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C1030420003449</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Z7003921000650</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华夏理财龙盈固定收益类28号一年封闭理财产品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25</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龙盈固定收益类29号一年封闭理财产品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201215400119</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C1030420003450</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Z7003921000651</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华夏理财龙盈固定收益类29号一年封闭理财产品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26</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龙盈固定收益类30号一年封闭理财产品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201215400120</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C1030420003451</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Z7003921000652</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华夏理财龙盈固定收益类30号一年封闭理财产品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27</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龙盈固定收益类7号一年封闭理财产品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201215400107</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C1030420003404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Z7003921000653</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华夏理财龙盈固定收益类7号一年封闭理财产品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28</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龙盈固定收益类8号一年封闭理财产品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201215400108</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C1030420003405</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Z7003921000654</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华夏理财龙盈固定收益类8号一年封闭理财产品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29</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龙盈固定收益类9号一年封闭理财产品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201215400109</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C1030420003406</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Z7003921000655</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华夏理财龙盈固定收益类9号一年封闭理财产品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30</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龙盈固定收益类GS款2号1054天封闭式长债型理财产品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1912156000104</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C1030419A001299</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Z7003921A000050</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华夏理财龙盈固定收益类GS款2号1054天封闭式长债型理财产品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31</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龙盈固定收益类GS款5号928天封闭式长债型理财产品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1912156000107</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C1030419A002416</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Z7003921A000051</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华夏理财龙盈固定收益类GS款5号928天封闭式长债型理财产品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32</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龙盈固定收益类GS款8号两年封闭理财产品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208215600301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C1030420A001216</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Z7003921A000037</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华夏理财龙盈固定收益类GS款8号两年封闭理财产品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33</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龙盈固定收益类G款69号两年封闭中资美元债理财产品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208215100330</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C1030420002743</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Z7003921000630</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华夏理财龙盈固定收益类G款69号两年封闭中资美元债理财产品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34</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龙盈固定收益类G款78号两年封闭中资美元债理财产品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208215100351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C1030420003064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Z7003921000631</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华夏理财龙盈固定收益类G款78号两年封闭中资美元债理财产品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35</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龙盈固定收益类尊享36号封闭式理财产品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218215503602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C1030420A001349</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Z7003921A000038</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华夏理财龙盈固定收益类尊享36号封闭式理财产品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36</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龙盈固定收益类尊享38号封闭式理财产品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218215503802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C1030420A001351</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Z7003921A000039</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华夏理财龙盈固定收益类尊享38号封闭式理财产品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37</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龙盈固定收益类尊享40号封闭式理财产品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218215504002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C1030420A001353</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Z7003921A000040</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华夏理财龙盈固定收益类尊享40号封闭式理财产品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38</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龙盈固定收益类尊享41号封闭式理财产品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218215504102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C1030420A001354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Z7003921A000041</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华夏理财龙盈固定收益类尊享41号封闭式理财产品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39</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龙盈固定收益类尊享42号封闭式理财产品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218215504202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C1030420A001355</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Z7003921A000042</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华夏理财龙盈固定收益类尊享42号封闭式理财产品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40</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龙盈固定收益类尊享43号封闭式理财产品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218215504302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C1030420A001356</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Z7003921A000043</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华夏理财龙盈固定收益类尊享43号封闭式理财产品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41</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龙盈固定收益类尊享44号封闭式理财产品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218215504402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C1030420A001357</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Z7003921A000044</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华夏理财龙盈固定收益类尊享44号封闭式理财产品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42</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龙盈固定收益类尊享47号封闭式理财产品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2112158002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C1030421A000026</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Z7003921A000045</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华夏理财龙盈固定收益类尊享47号封闭式理财产品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43</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龙盈固定收益类尊享48号封闭式理财产品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2112158003</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C1030421A000027</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Z7003921A000046</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华夏理财龙盈固定收益类尊享48号封闭式理财产品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44</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龙盈固定收益类尊享53号封闭式理财产品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2112158008</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C1030421A000032</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Z7003921A000047</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华夏理财龙盈固定收益类尊享53号封闭式理财产品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45</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龙盈固定收益类尊享57号封闭式理财产品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2112158012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C1030421A000036</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Z7003921A000048</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华夏理财龙盈固定收益类尊享57号封闭式理财产品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46</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龙盈固定收益类尊享60号封闭式理财产品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2112158015</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C1030421A000059</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Z7003921A000049</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华夏理财龙盈固定收益类尊享60号封闭式理财产品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47</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龙盈混合G款102号一年半封闭理财产品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218285100598</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C1030421000064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Z7003921000668</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华夏理财龙盈混合G款102号一年半封闭理财产品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48</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龙盈混合G款1号一年封闭理财产品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218285100603</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C1030421000204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Z7003921000669</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华夏理财龙盈混合G款1号一年封闭理财产品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49</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华夏银行龙盈固定收益类纯债型理财产品1号</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1912121000101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C1030419002057</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Z7003921000629</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2021年12月10日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华夏理财龙盈固定收益类纯债型理财产品1号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50</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龙盈1号开放式净值型理财产品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1516220000101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C1030415002077</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Z7003921000657</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华夏理财龙盈1号开放式净值型理财产品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51</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龙盈2号开放式净值型理财产品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1516220000201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C1030416001346</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Z7003921000658</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华夏理财龙盈2号开放式净值型理财产品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52</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龙盈4号开放式净值型理财产品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1610621000201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C1030416002768</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Z7003921000659</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华夏理财龙盈4号开放式净值型理财产品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53</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龙盈ESG混合G款10号两年定开理财产品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208282100417</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C1030420003184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Z7003921000627</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华夏理财龙盈ESG混合G款10号两年定开理财产品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54</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龙盈ESG混合G款11号两年定开理财产品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208282100418</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C1030420003185</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Z7003921000628</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华夏理财龙盈ESG混合G款11号两年定开理财产品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55</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龙盈百岁人生固定收益类1号两年定开理财产品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208212100391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C1030420003154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Z7003921000656</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华夏理财龙盈百岁人生固定收益类1号两年定开理财产品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56</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龙盈固定收益类G款46号一年定开理财产品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208212100315</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C1030420001956</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Z7003921000660</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华夏理财龙盈固定收益类G款46号一年定开理财产品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57</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龙盈固定收益类G款53号一年定开理财产品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208212100322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C1030420002259</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Z7003921000661</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华夏理财龙盈固定收益类G款53号一年定开理财产品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58</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龙盈固定收益类G款88号一年定开理财产品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208212100361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C1030420003067</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Z7003921000662</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华夏理财龙盈固定收益类G款88号一年定开理财产品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59</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龙盈固收周期270天理财产品A款</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201216700601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C1030420003137</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Z7003921000663</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2021年12月10日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华夏理财龙盈固收周期270天理财产品A款</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60</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龙盈固收周期360天理财产品A款</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201216800707</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C1030420003138</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Z7003921000664</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2021年12月10日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华夏理财龙盈固收周期360天理财产品A款</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61</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龙盈混合G款4号一年半定开偏债理财产品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208282100503</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C1030420002401</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Z7003921000667</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华夏理财龙盈混合G款4号一年半定开偏债理财产品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62</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龙盈权益类G款1号三个月定开FOF型理财产品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1912621000501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C1030419007814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Z7003921000671</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华夏理财龙盈权益类G款1号三个月定开FOF型理财产品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63</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龙盈固收周期90天理财产品A款</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201216700301</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C1030420003134</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Z7003921000665</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2021年12月10日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华夏理财龙盈固收周期90天理财产品A款</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4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64</w:t>
            </w:r>
          </w:p>
        </w:tc>
        <w:tc>
          <w:tcPr>
            <w:tcW w:w="131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龙盈混合G款2号一年半定开偏债理财产品</w:t>
            </w:r>
          </w:p>
        </w:tc>
        <w:tc>
          <w:tcPr>
            <w:tcW w:w="72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208282100502</w:t>
            </w:r>
          </w:p>
        </w:tc>
        <w:tc>
          <w:tcPr>
            <w:tcW w:w="88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C1030420002268</w:t>
            </w:r>
          </w:p>
        </w:tc>
        <w:tc>
          <w:tcPr>
            <w:tcW w:w="95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Z7003921000666</w:t>
            </w:r>
          </w:p>
        </w:tc>
        <w:tc>
          <w:tcPr>
            <w:tcW w:w="87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2021年12月8日</w:t>
            </w:r>
          </w:p>
        </w:tc>
        <w:tc>
          <w:tcPr>
            <w:tcW w:w="1330" w:type="dxa"/>
            <w:shd w:val="clear" w:color="auto" w:fill="FFFFFF"/>
            <w:vAlign w:val="top"/>
          </w:tcPr>
          <w:p>
            <w:pPr>
              <w:keepNext w:val="0"/>
              <w:keepLines w:val="0"/>
              <w:widowControl/>
              <w:suppressLineNumbers w:val="0"/>
              <w:spacing w:before="0" w:beforeAutospacing="0" w:after="0" w:afterAutospacing="0"/>
              <w:ind w:left="0" w:right="0"/>
              <w:jc w:val="left"/>
              <w:textAlignment w:val="baseline"/>
              <w:rPr>
                <w:rFonts w:hint="default" w:ascii="Times New Roman" w:hAnsi="Times New Roman" w:cs="Times New Roman"/>
                <w:color w:val="666666"/>
                <w:sz w:val="12"/>
                <w:szCs w:val="12"/>
              </w:rPr>
            </w:pPr>
            <w:r>
              <w:rPr>
                <w:rFonts w:hint="default" w:ascii="Times New Roman" w:hAnsi="Times New Roman" w:eastAsia="宋体" w:cs="Times New Roman"/>
                <w:color w:val="666666"/>
                <w:kern w:val="0"/>
                <w:sz w:val="12"/>
                <w:szCs w:val="12"/>
                <w:bdr w:val="none" w:color="auto" w:sz="0" w:space="0"/>
                <w:vertAlign w:val="baseline"/>
                <w:lang w:val="en-US" w:eastAsia="zh-CN" w:bidi="ar"/>
              </w:rPr>
              <w:t>华夏理财龙盈混合G款2号一年半定开偏债理财产品</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814B2D"/>
    <w:rsid w:val="2F814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2021-12-08T03:10:00Z</dcterms:created>
  <dc:creator>WJY_XM</dc:creator>
  <cp:lastModifiedBy>WJY_XM</cp:lastModifiedBy>
  <dcterms:modified xsi:type="dcterms:W3CDTF">2021-12-08T03:11:30Z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2052-11.8.2.8929</vt:lpwstr>
  </property>
</Properties>
</file>