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333333"/>
          <w:spacing w:val="0"/>
          <w:kern w:val="0"/>
          <w:sz w:val="36"/>
          <w:szCs w:val="36"/>
          <w:shd w:val="clear" w:fill="FFFFFF"/>
          <w:lang w:val="en-US" w:eastAsia="zh-CN" w:bidi="ar"/>
        </w:rPr>
      </w:pPr>
      <w:r>
        <w:rPr>
          <w:rFonts w:hint="eastAsia" w:ascii="宋体" w:hAnsi="宋体" w:eastAsia="宋体" w:cs="宋体"/>
          <w:b/>
          <w:bCs/>
          <w:i w:val="0"/>
          <w:iCs w:val="0"/>
          <w:caps w:val="0"/>
          <w:color w:val="333333"/>
          <w:spacing w:val="0"/>
          <w:kern w:val="0"/>
          <w:sz w:val="36"/>
          <w:szCs w:val="36"/>
          <w:shd w:val="clear" w:fill="FFFFFF"/>
          <w:lang w:val="en-US" w:eastAsia="zh-CN" w:bidi="ar"/>
        </w:rPr>
        <w:t>国家发展改革委 中国银监会关于印发</w:t>
      </w:r>
    </w:p>
    <w:p>
      <w:pPr>
        <w:jc w:val="center"/>
        <w:rPr>
          <w:rFonts w:hint="eastAsia" w:ascii="宋体" w:hAnsi="宋体" w:eastAsia="宋体" w:cs="宋体"/>
          <w:b/>
          <w:bCs/>
          <w:i w:val="0"/>
          <w:iCs w:val="0"/>
          <w:caps w:val="0"/>
          <w:color w:val="333333"/>
          <w:spacing w:val="0"/>
          <w:kern w:val="0"/>
          <w:sz w:val="36"/>
          <w:szCs w:val="36"/>
          <w:shd w:val="clear" w:fill="FFFFFF"/>
          <w:lang w:val="en-US" w:eastAsia="zh-CN" w:bidi="ar"/>
        </w:rPr>
      </w:pPr>
      <w:r>
        <w:rPr>
          <w:rFonts w:hint="eastAsia" w:ascii="宋体" w:hAnsi="宋体" w:eastAsia="宋体" w:cs="宋体"/>
          <w:b/>
          <w:bCs/>
          <w:i w:val="0"/>
          <w:iCs w:val="0"/>
          <w:caps w:val="0"/>
          <w:color w:val="333333"/>
          <w:spacing w:val="0"/>
          <w:kern w:val="0"/>
          <w:sz w:val="36"/>
          <w:szCs w:val="36"/>
          <w:shd w:val="clear" w:fill="FFFFFF"/>
          <w:lang w:val="en-US" w:eastAsia="zh-CN" w:bidi="ar"/>
        </w:rPr>
        <w:t>《商业银行服务政府指导价政府定价目录》的通知</w:t>
      </w:r>
    </w:p>
    <w:p>
      <w:pPr>
        <w:jc w:val="center"/>
        <w:rPr>
          <w:rFonts w:hint="eastAsia" w:ascii="楷体" w:hAnsi="楷体" w:eastAsia="楷体" w:cs="楷体"/>
          <w:i w:val="0"/>
          <w:iCs w:val="0"/>
          <w:caps w:val="0"/>
          <w:color w:val="333333"/>
          <w:spacing w:val="0"/>
          <w:kern w:val="0"/>
          <w:sz w:val="24"/>
          <w:szCs w:val="24"/>
          <w:shd w:val="clear" w:fill="FFFFFF"/>
          <w:lang w:val="en-US" w:eastAsia="zh-CN" w:bidi="ar"/>
        </w:rPr>
      </w:pPr>
      <w:r>
        <w:rPr>
          <w:rFonts w:ascii="楷体" w:hAnsi="楷体" w:eastAsia="楷体" w:cs="楷体"/>
          <w:i w:val="0"/>
          <w:iCs w:val="0"/>
          <w:caps w:val="0"/>
          <w:color w:val="333333"/>
          <w:spacing w:val="0"/>
          <w:kern w:val="0"/>
          <w:sz w:val="24"/>
          <w:szCs w:val="24"/>
          <w:shd w:val="clear" w:fill="FFFFFF"/>
          <w:lang w:val="en-US" w:eastAsia="zh-CN" w:bidi="ar"/>
        </w:rPr>
        <w:t>发改价格〔</w:t>
      </w:r>
      <w:r>
        <w:rPr>
          <w:rFonts w:hint="eastAsia" w:ascii="楷体" w:hAnsi="楷体" w:eastAsia="楷体" w:cs="楷体"/>
          <w:i w:val="0"/>
          <w:iCs w:val="0"/>
          <w:caps w:val="0"/>
          <w:color w:val="333333"/>
          <w:spacing w:val="0"/>
          <w:kern w:val="0"/>
          <w:sz w:val="24"/>
          <w:szCs w:val="24"/>
          <w:shd w:val="clear" w:fill="FFFFFF"/>
          <w:lang w:val="en-US" w:eastAsia="zh-CN" w:bidi="ar"/>
        </w:rPr>
        <w:t>2014〕268号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lang w:val="en-US" w:eastAsia="zh-CN"/>
        </w:rPr>
        <w:t>各省、自治区、直辖市及计划单列市发展改革委、物价局，各银监局，各政策性银行、国有商业银行、股份制商业银行，中国邮政储蓄银行：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80" w:beforeAutospacing="0" w:after="0" w:afterAutospacing="0"/>
        <w:ind w:left="0" w:right="0" w:firstLine="480" w:firstLineChars="200"/>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lang w:val="en-US" w:eastAsia="zh-CN"/>
        </w:rPr>
        <w:t>为满足银行客户（包括自然人、法人和其他组织）的基本金融服务需求，维护其合法权益，促进银行业健康可持续发展，根据《价格法》、《商业银行服务价格管理办法》等有关规定，制定《商业银行服务政府指导价政府定价目录》（以下简称《目录》，见附件）。现印发给你们，并就有关规定通知如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80" w:beforeAutospacing="0" w:after="0" w:afterAutospacing="0"/>
        <w:ind w:left="0" w:right="0" w:firstLine="480" w:firstLineChars="200"/>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lang w:val="en-US" w:eastAsia="zh-CN"/>
        </w:rPr>
        <w:t>一、商业银行为银行客户提供的基础金融服务实行政府指导价、政府定价管理。实行政府指导价、政府定价的基础金融服务包括部分转账汇款、现金汇款、取现和票据等商业银行服务项目，具体收费项目和收费标准按照《目录》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80" w:beforeAutospacing="0" w:after="0" w:afterAutospacing="0"/>
        <w:ind w:left="0" w:right="0" w:firstLine="480" w:firstLineChars="200"/>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lang w:val="en-US" w:eastAsia="zh-CN"/>
        </w:rPr>
        <w:t>二、商业银行免收社会保险经办机构和本行签约开立的个人基本养老金（含退休金）账户，每月前2笔且每笔不超过2500元（含2500元）的本行异地（含本行柜台和ATM）取现手续费。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80" w:beforeAutospacing="0" w:after="0" w:afterAutospacing="0"/>
        <w:ind w:left="0" w:right="0" w:firstLine="480" w:firstLineChars="200"/>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lang w:val="en-US" w:eastAsia="zh-CN"/>
        </w:rPr>
        <w:t>三、对于银行客户账户中（不含信用卡）没有享受免收账户管理费（含小额账户管理费）和年费的，商业银行应根据客户申请，为其提供一个免收账户管理费（含小额账户管理费）和年费的账户（不含信用卡、贵宾账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80" w:beforeAutospacing="0" w:after="0" w:afterAutospacing="0"/>
        <w:ind w:left="0" w:right="0" w:firstLine="480" w:firstLineChars="200"/>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lang w:val="en-US" w:eastAsia="zh-CN"/>
        </w:rPr>
        <w:t>四、商业银行为银行客户提供账户变动短信提醒服务并收费的，应事先通过网点或电子渠道等与银行客户签约；未与银行客户签约的，不得收费。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80" w:beforeAutospacing="0" w:after="0" w:afterAutospacing="0"/>
        <w:ind w:left="0" w:right="0" w:firstLine="480" w:firstLineChars="200"/>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lang w:val="en-US" w:eastAsia="zh-CN"/>
        </w:rPr>
        <w:t>五、本通知规定的商业银行是指依据《商业银行法》和《外资银行管理条例》等法律法规设立的银行业金融机构。本通知适用于商业银行开展的境内人民币业务。在中华人民共和国境内经国务院银行业监督管理机构批准设立的其他银行业金融机构，参照本规定执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80" w:beforeAutospacing="0" w:after="0" w:afterAutospacing="0"/>
        <w:ind w:left="0" w:right="0" w:firstLine="480" w:firstLineChars="200"/>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lang w:val="en-US" w:eastAsia="zh-CN"/>
        </w:rPr>
        <w:t>六、上述规定自2014年8月1日起执行。此前有关规定与本通知不一致的，以本通知为准。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80" w:beforeAutospacing="0" w:after="0" w:afterAutospacing="0"/>
        <w:ind w:left="0" w:right="0" w:firstLine="480" w:firstLineChars="200"/>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lang w:val="en-US" w:eastAsia="zh-CN"/>
        </w:rPr>
        <w:t>请各省、自治区、直辖市及计划单列市价格主管部门将本通知转发至本行政区域内的商业银行，并督促其落实各项规定。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lang w:val="en-US" w:eastAsia="zh-CN"/>
        </w:rPr>
        <w:t> </w:t>
      </w:r>
      <w:bookmarkStart w:id="0" w:name="_GoBack"/>
      <w:bookmarkEnd w:id="0"/>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80" w:beforeAutospacing="0" w:after="0" w:afterAutospacing="0"/>
        <w:ind w:left="0" w:right="0" w:firstLine="480" w:firstLineChars="20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lang w:val="en-US" w:eastAsia="zh-CN"/>
        </w:rPr>
        <w:t>附件：商业银行服务政府指导价政府定价目录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right"/>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lang w:val="en-US" w:eastAsia="zh-CN"/>
        </w:rPr>
        <w:t>国家发展改革委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right"/>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lang w:val="en-US" w:eastAsia="zh-CN"/>
        </w:rPr>
        <w:t>中国银监会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ind w:left="0" w:right="0" w:firstLine="0"/>
        <w:jc w:val="right"/>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lang w:val="en-US" w:eastAsia="zh-CN"/>
        </w:rPr>
        <w:t>2014年2月14日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rPr>
          <w:rFonts w:hint="eastAsia" w:ascii="微软雅黑" w:hAnsi="微软雅黑" w:eastAsia="微软雅黑" w:cs="微软雅黑"/>
          <w:i w:val="0"/>
          <w:iCs w:val="0"/>
          <w:caps w:val="0"/>
          <w:color w:val="444444"/>
          <w:spacing w:val="0"/>
          <w:sz w:val="16"/>
          <w:szCs w:val="16"/>
        </w:rPr>
      </w:pPr>
      <w:r>
        <w:rPr>
          <w:rFonts w:hint="eastAsia" w:ascii="微软雅黑" w:hAnsi="微软雅黑" w:eastAsia="微软雅黑" w:cs="微软雅黑"/>
          <w:i w:val="0"/>
          <w:iCs w:val="0"/>
          <w:caps w:val="0"/>
          <w:color w:val="444444"/>
          <w:spacing w:val="0"/>
          <w:kern w:val="0"/>
          <w:sz w:val="16"/>
          <w:szCs w:val="16"/>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i w:val="0"/>
          <w:iCs w:val="0"/>
          <w:caps w:val="0"/>
          <w:color w:val="444444"/>
          <w:spacing w:val="0"/>
          <w:sz w:val="16"/>
          <w:szCs w:val="16"/>
        </w:rPr>
      </w:pPr>
      <w:r>
        <w:rPr>
          <w:rFonts w:hint="eastAsia" w:ascii="微软雅黑" w:hAnsi="微软雅黑" w:eastAsia="微软雅黑" w:cs="微软雅黑"/>
          <w:b/>
          <w:bCs/>
          <w:i w:val="0"/>
          <w:iCs w:val="0"/>
          <w:caps w:val="0"/>
          <w:color w:val="444444"/>
          <w:spacing w:val="0"/>
          <w:kern w:val="0"/>
          <w:sz w:val="16"/>
          <w:szCs w:val="16"/>
          <w:bdr w:val="none" w:color="auto" w:sz="0" w:space="0"/>
          <w:lang w:val="en-US" w:eastAsia="zh-CN" w:bidi="ar"/>
        </w:rPr>
        <w:t>商业银行服务政府指导价政府定价目录</w:t>
      </w:r>
    </w:p>
    <w:tbl>
      <w:tblPr>
        <w:tblW w:w="90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56"/>
        <w:gridCol w:w="1098"/>
        <w:gridCol w:w="1913"/>
        <w:gridCol w:w="3547"/>
        <w:gridCol w:w="965"/>
        <w:gridCol w:w="109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25" w:hRule="atLeast"/>
          <w:jc w:val="center"/>
        </w:trPr>
        <w:tc>
          <w:tcPr>
            <w:tcW w:w="456"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pPr>
            <w:r>
              <w:rPr>
                <w:rFonts w:ascii="宋体" w:hAnsi="宋体" w:eastAsia="宋体" w:cs="宋体"/>
                <w:kern w:val="0"/>
                <w:sz w:val="24"/>
                <w:szCs w:val="24"/>
                <w:bdr w:val="none" w:color="auto" w:sz="0" w:space="0"/>
                <w:lang w:val="en-US" w:eastAsia="zh-CN" w:bidi="ar"/>
              </w:rPr>
              <w:t>序号</w:t>
            </w:r>
          </w:p>
        </w:tc>
        <w:tc>
          <w:tcPr>
            <w:tcW w:w="1117"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pPr>
            <w:r>
              <w:rPr>
                <w:rFonts w:ascii="宋体" w:hAnsi="宋体" w:eastAsia="宋体" w:cs="宋体"/>
                <w:kern w:val="0"/>
                <w:sz w:val="24"/>
                <w:szCs w:val="24"/>
                <w:bdr w:val="none" w:color="auto" w:sz="0" w:space="0"/>
                <w:lang w:val="en-US" w:eastAsia="zh-CN" w:bidi="ar"/>
              </w:rPr>
              <w:t>收费项目</w:t>
            </w:r>
          </w:p>
        </w:tc>
        <w:tc>
          <w:tcPr>
            <w:tcW w:w="1949"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pPr>
            <w:r>
              <w:rPr>
                <w:rFonts w:ascii="宋体" w:hAnsi="宋体" w:eastAsia="宋体" w:cs="宋体"/>
                <w:kern w:val="0"/>
                <w:sz w:val="24"/>
                <w:szCs w:val="24"/>
                <w:bdr w:val="none" w:color="auto" w:sz="0" w:space="0"/>
                <w:lang w:val="en-US" w:eastAsia="zh-CN" w:bidi="ar"/>
              </w:rPr>
              <w:t>服务内容</w:t>
            </w:r>
          </w:p>
        </w:tc>
        <w:tc>
          <w:tcPr>
            <w:tcW w:w="3618"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pPr>
            <w:r>
              <w:rPr>
                <w:rFonts w:ascii="宋体" w:hAnsi="宋体" w:eastAsia="宋体" w:cs="宋体"/>
                <w:kern w:val="0"/>
                <w:sz w:val="24"/>
                <w:szCs w:val="24"/>
                <w:bdr w:val="none" w:color="auto" w:sz="0" w:space="0"/>
                <w:lang w:val="en-US" w:eastAsia="zh-CN" w:bidi="ar"/>
              </w:rPr>
              <w:t>收费标准</w:t>
            </w:r>
          </w:p>
        </w:tc>
        <w:tc>
          <w:tcPr>
            <w:tcW w:w="839"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pPr>
            <w:r>
              <w:rPr>
                <w:rFonts w:ascii="宋体" w:hAnsi="宋体" w:eastAsia="宋体" w:cs="宋体"/>
                <w:kern w:val="0"/>
                <w:sz w:val="24"/>
                <w:szCs w:val="24"/>
                <w:bdr w:val="none" w:color="auto" w:sz="0" w:space="0"/>
                <w:lang w:val="en-US" w:eastAsia="zh-CN" w:bidi="ar"/>
              </w:rPr>
              <w:t>定价形式</w:t>
            </w:r>
          </w:p>
        </w:tc>
        <w:tc>
          <w:tcPr>
            <w:tcW w:w="1099"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pPr>
            <w:r>
              <w:rPr>
                <w:rFonts w:ascii="宋体" w:hAnsi="宋体" w:eastAsia="宋体" w:cs="宋体"/>
                <w:kern w:val="0"/>
                <w:sz w:val="24"/>
                <w:szCs w:val="24"/>
                <w:bdr w:val="none" w:color="auto" w:sz="0" w:space="0"/>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965" w:hRule="atLeast"/>
          <w:jc w:val="center"/>
        </w:trPr>
        <w:tc>
          <w:tcPr>
            <w:tcW w:w="456"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1</w:t>
            </w:r>
          </w:p>
        </w:tc>
        <w:tc>
          <w:tcPr>
            <w:tcW w:w="111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个人跨行柜台转账汇款手续费</w:t>
            </w:r>
          </w:p>
        </w:tc>
        <w:tc>
          <w:tcPr>
            <w:tcW w:w="194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通过柜台将个人客户的资金从本行账户（不含信用卡）转移到其他银行（含同城和异地）的账户</w:t>
            </w:r>
          </w:p>
        </w:tc>
        <w:tc>
          <w:tcPr>
            <w:tcW w:w="36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每笔0.2万元以下（含0.2万元），收费不超过2元；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0.2万—0.5万元（含0.5万元），不超过5元；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0.5万—1万元（含1万元），不超过10元；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1万—5万元（含5万元），不超过15元；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5万元以上，不超过0.03%，最高收费50元</w:t>
            </w:r>
          </w:p>
        </w:tc>
        <w:tc>
          <w:tcPr>
            <w:tcW w:w="83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政府指导价</w:t>
            </w:r>
          </w:p>
        </w:tc>
        <w:tc>
          <w:tcPr>
            <w:tcW w:w="10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转账范围包括向其他银行的本人、其他个人或单位的账户进行资金转移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905" w:hRule="atLeast"/>
          <w:jc w:val="center"/>
        </w:trPr>
        <w:tc>
          <w:tcPr>
            <w:tcW w:w="456" w:type="dxa"/>
            <w:tcBorders>
              <w:top w:val="nil"/>
              <w:left w:val="single" w:color="auto" w:sz="8" w:space="0"/>
              <w:bottom w:val="single" w:color="auto" w:sz="8" w:space="0"/>
              <w:right w:val="single" w:color="auto" w:sz="8" w:space="0"/>
            </w:tcBorders>
            <w:shd w:val="clear"/>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2</w:t>
            </w:r>
          </w:p>
        </w:tc>
        <w:tc>
          <w:tcPr>
            <w:tcW w:w="111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对公跨行柜台转账汇款手续费</w:t>
            </w:r>
          </w:p>
        </w:tc>
        <w:tc>
          <w:tcPr>
            <w:tcW w:w="194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通过柜台将对公客户的资金从本行账户转移到其他银行（含同城和异地）的账户</w:t>
            </w:r>
          </w:p>
        </w:tc>
        <w:tc>
          <w:tcPr>
            <w:tcW w:w="36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每笔1万元以下（含1万元），收费不超过5元；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1万—10万元（含10万元），不超过10元；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10万—50万元（含50万元），不超过15元；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50万—100万元（含100万元），不超过20元；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100万元以上，不超过0.002%，最高收费200元</w:t>
            </w:r>
          </w:p>
        </w:tc>
        <w:tc>
          <w:tcPr>
            <w:tcW w:w="83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政府指导价</w:t>
            </w:r>
          </w:p>
        </w:tc>
        <w:tc>
          <w:tcPr>
            <w:tcW w:w="10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转账范围包括向其他银行的本单位、其他单位或个人的账户进行资金转移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470" w:hRule="atLeast"/>
          <w:jc w:val="center"/>
        </w:trPr>
        <w:tc>
          <w:tcPr>
            <w:tcW w:w="456"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3</w:t>
            </w:r>
          </w:p>
        </w:tc>
        <w:tc>
          <w:tcPr>
            <w:tcW w:w="111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个人现金汇款手续费</w:t>
            </w:r>
          </w:p>
        </w:tc>
        <w:tc>
          <w:tcPr>
            <w:tcW w:w="194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将个人客户现金汇入异地本行账户或汇入其他银行（含同城和异地）的账户</w:t>
            </w:r>
          </w:p>
        </w:tc>
        <w:tc>
          <w:tcPr>
            <w:tcW w:w="36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每笔不超过汇款金额的0.5%，</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最高收费50元</w:t>
            </w:r>
          </w:p>
        </w:tc>
        <w:tc>
          <w:tcPr>
            <w:tcW w:w="83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政府指导价</w:t>
            </w:r>
          </w:p>
        </w:tc>
        <w:tc>
          <w:tcPr>
            <w:tcW w:w="109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470" w:hRule="atLeast"/>
          <w:jc w:val="center"/>
        </w:trPr>
        <w:tc>
          <w:tcPr>
            <w:tcW w:w="456" w:type="dxa"/>
            <w:tcBorders>
              <w:top w:val="nil"/>
              <w:left w:val="single" w:color="auto" w:sz="8" w:space="0"/>
              <w:bottom w:val="single" w:color="auto" w:sz="8" w:space="0"/>
              <w:right w:val="single" w:color="auto" w:sz="8" w:space="0"/>
            </w:tcBorders>
            <w:shd w:val="clear"/>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4</w:t>
            </w:r>
          </w:p>
        </w:tc>
        <w:tc>
          <w:tcPr>
            <w:tcW w:w="111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个人异地本行柜台取现手续费</w:t>
            </w:r>
          </w:p>
        </w:tc>
        <w:tc>
          <w:tcPr>
            <w:tcW w:w="194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通过异地本行柜台为本行个人客户办理取现业务（不含信用卡）</w:t>
            </w:r>
          </w:p>
        </w:tc>
        <w:tc>
          <w:tcPr>
            <w:tcW w:w="36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每笔不超过取现金额的0.5%，</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最高收费50元</w:t>
            </w:r>
          </w:p>
        </w:tc>
        <w:tc>
          <w:tcPr>
            <w:tcW w:w="83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政府指导价</w:t>
            </w:r>
          </w:p>
        </w:tc>
        <w:tc>
          <w:tcPr>
            <w:tcW w:w="1099" w:type="dxa"/>
            <w:tcBorders>
              <w:top w:val="nil"/>
              <w:left w:val="nil"/>
              <w:bottom w:val="single" w:color="auto" w:sz="8" w:space="0"/>
              <w:right w:val="single" w:color="auto" w:sz="8" w:space="0"/>
            </w:tcBorders>
            <w:shd w:val="clear"/>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65" w:hRule="atLeast"/>
          <w:jc w:val="center"/>
        </w:trPr>
        <w:tc>
          <w:tcPr>
            <w:tcW w:w="456"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5</w:t>
            </w:r>
          </w:p>
        </w:tc>
        <w:tc>
          <w:tcPr>
            <w:tcW w:w="111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支票手续费</w:t>
            </w:r>
          </w:p>
        </w:tc>
        <w:tc>
          <w:tcPr>
            <w:tcW w:w="194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为个人或对公客户办理支票业务</w:t>
            </w:r>
          </w:p>
        </w:tc>
        <w:tc>
          <w:tcPr>
            <w:tcW w:w="36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每笔不超过1元</w:t>
            </w:r>
          </w:p>
        </w:tc>
        <w:tc>
          <w:tcPr>
            <w:tcW w:w="83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政府指导价</w:t>
            </w:r>
          </w:p>
        </w:tc>
        <w:tc>
          <w:tcPr>
            <w:tcW w:w="1099" w:type="dxa"/>
            <w:tcBorders>
              <w:top w:val="nil"/>
              <w:left w:val="nil"/>
              <w:bottom w:val="single" w:color="auto" w:sz="8" w:space="0"/>
              <w:right w:val="single" w:color="auto" w:sz="8" w:space="0"/>
            </w:tcBorders>
            <w:shd w:val="clear"/>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65" w:hRule="atLeast"/>
          <w:jc w:val="center"/>
        </w:trPr>
        <w:tc>
          <w:tcPr>
            <w:tcW w:w="456" w:type="dxa"/>
            <w:tcBorders>
              <w:top w:val="nil"/>
              <w:left w:val="single" w:color="auto" w:sz="8" w:space="0"/>
              <w:bottom w:val="single" w:color="auto" w:sz="8" w:space="0"/>
              <w:right w:val="single" w:color="auto" w:sz="8" w:space="0"/>
            </w:tcBorders>
            <w:shd w:val="clear"/>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6</w:t>
            </w:r>
          </w:p>
        </w:tc>
        <w:tc>
          <w:tcPr>
            <w:tcW w:w="111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支票挂失费</w:t>
            </w:r>
          </w:p>
        </w:tc>
        <w:tc>
          <w:tcPr>
            <w:tcW w:w="194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为个人或对公客户办理支票挂失</w:t>
            </w:r>
          </w:p>
        </w:tc>
        <w:tc>
          <w:tcPr>
            <w:tcW w:w="36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按票面金额0.1%（不足5元收取5元）</w:t>
            </w:r>
          </w:p>
        </w:tc>
        <w:tc>
          <w:tcPr>
            <w:tcW w:w="83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政府定价</w:t>
            </w:r>
          </w:p>
        </w:tc>
        <w:tc>
          <w:tcPr>
            <w:tcW w:w="1099" w:type="dxa"/>
            <w:tcBorders>
              <w:top w:val="nil"/>
              <w:left w:val="nil"/>
              <w:bottom w:val="single" w:color="auto" w:sz="8" w:space="0"/>
              <w:right w:val="single" w:color="auto" w:sz="8" w:space="0"/>
            </w:tcBorders>
            <w:shd w:val="clear"/>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65" w:hRule="atLeast"/>
          <w:jc w:val="center"/>
        </w:trPr>
        <w:tc>
          <w:tcPr>
            <w:tcW w:w="456"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7</w:t>
            </w:r>
          </w:p>
        </w:tc>
        <w:tc>
          <w:tcPr>
            <w:tcW w:w="111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支票工本费</w:t>
            </w:r>
          </w:p>
        </w:tc>
        <w:tc>
          <w:tcPr>
            <w:tcW w:w="194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出售给个人或对公客户的支票凭证</w:t>
            </w:r>
          </w:p>
        </w:tc>
        <w:tc>
          <w:tcPr>
            <w:tcW w:w="36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每份0.4元</w:t>
            </w:r>
          </w:p>
        </w:tc>
        <w:tc>
          <w:tcPr>
            <w:tcW w:w="83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政府定价</w:t>
            </w:r>
          </w:p>
        </w:tc>
        <w:tc>
          <w:tcPr>
            <w:tcW w:w="1099" w:type="dxa"/>
            <w:tcBorders>
              <w:top w:val="nil"/>
              <w:left w:val="nil"/>
              <w:bottom w:val="single" w:color="auto" w:sz="8" w:space="0"/>
              <w:right w:val="single" w:color="auto" w:sz="8" w:space="0"/>
            </w:tcBorders>
            <w:shd w:val="clear"/>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65" w:hRule="atLeast"/>
          <w:jc w:val="center"/>
        </w:trPr>
        <w:tc>
          <w:tcPr>
            <w:tcW w:w="456" w:type="dxa"/>
            <w:tcBorders>
              <w:top w:val="nil"/>
              <w:left w:val="single" w:color="auto" w:sz="8" w:space="0"/>
              <w:bottom w:val="single" w:color="auto" w:sz="8" w:space="0"/>
              <w:right w:val="single" w:color="auto" w:sz="8" w:space="0"/>
            </w:tcBorders>
            <w:shd w:val="clear"/>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8</w:t>
            </w:r>
          </w:p>
        </w:tc>
        <w:tc>
          <w:tcPr>
            <w:tcW w:w="111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本票手续费</w:t>
            </w:r>
          </w:p>
        </w:tc>
        <w:tc>
          <w:tcPr>
            <w:tcW w:w="194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为个人或对公客户办理本票业务</w:t>
            </w:r>
          </w:p>
        </w:tc>
        <w:tc>
          <w:tcPr>
            <w:tcW w:w="36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每笔不超过1元</w:t>
            </w:r>
          </w:p>
        </w:tc>
        <w:tc>
          <w:tcPr>
            <w:tcW w:w="83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政府指导价</w:t>
            </w:r>
          </w:p>
        </w:tc>
        <w:tc>
          <w:tcPr>
            <w:tcW w:w="1099" w:type="dxa"/>
            <w:tcBorders>
              <w:top w:val="nil"/>
              <w:left w:val="nil"/>
              <w:bottom w:val="single" w:color="auto" w:sz="8" w:space="0"/>
              <w:right w:val="single" w:color="auto" w:sz="8" w:space="0"/>
            </w:tcBorders>
            <w:shd w:val="clear"/>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65" w:hRule="atLeast"/>
          <w:jc w:val="center"/>
        </w:trPr>
        <w:tc>
          <w:tcPr>
            <w:tcW w:w="456"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9</w:t>
            </w:r>
          </w:p>
        </w:tc>
        <w:tc>
          <w:tcPr>
            <w:tcW w:w="111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本票挂失费</w:t>
            </w:r>
          </w:p>
        </w:tc>
        <w:tc>
          <w:tcPr>
            <w:tcW w:w="194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为个人或对公客户办理本票挂失</w:t>
            </w:r>
          </w:p>
        </w:tc>
        <w:tc>
          <w:tcPr>
            <w:tcW w:w="36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按票面金额0.1%（不足5元收取5元）</w:t>
            </w:r>
          </w:p>
        </w:tc>
        <w:tc>
          <w:tcPr>
            <w:tcW w:w="83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政府定价</w:t>
            </w:r>
          </w:p>
        </w:tc>
        <w:tc>
          <w:tcPr>
            <w:tcW w:w="1099" w:type="dxa"/>
            <w:tcBorders>
              <w:top w:val="nil"/>
              <w:left w:val="nil"/>
              <w:bottom w:val="single" w:color="auto" w:sz="8" w:space="0"/>
              <w:right w:val="single" w:color="auto" w:sz="8" w:space="0"/>
            </w:tcBorders>
            <w:shd w:val="clear"/>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65" w:hRule="atLeast"/>
          <w:jc w:val="center"/>
        </w:trPr>
        <w:tc>
          <w:tcPr>
            <w:tcW w:w="456" w:type="dxa"/>
            <w:tcBorders>
              <w:top w:val="nil"/>
              <w:left w:val="single" w:color="auto" w:sz="8" w:space="0"/>
              <w:bottom w:val="single" w:color="auto" w:sz="8" w:space="0"/>
              <w:right w:val="single" w:color="auto" w:sz="8" w:space="0"/>
            </w:tcBorders>
            <w:shd w:val="clear"/>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10</w:t>
            </w:r>
          </w:p>
        </w:tc>
        <w:tc>
          <w:tcPr>
            <w:tcW w:w="111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本票工本费</w:t>
            </w:r>
          </w:p>
        </w:tc>
        <w:tc>
          <w:tcPr>
            <w:tcW w:w="194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出售给个人或对公客户的本票凭证</w:t>
            </w:r>
          </w:p>
        </w:tc>
        <w:tc>
          <w:tcPr>
            <w:tcW w:w="36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每份0.48元</w:t>
            </w:r>
          </w:p>
        </w:tc>
        <w:tc>
          <w:tcPr>
            <w:tcW w:w="83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政府定价</w:t>
            </w:r>
          </w:p>
        </w:tc>
        <w:tc>
          <w:tcPr>
            <w:tcW w:w="1099" w:type="dxa"/>
            <w:tcBorders>
              <w:top w:val="nil"/>
              <w:left w:val="nil"/>
              <w:bottom w:val="single" w:color="auto" w:sz="8" w:space="0"/>
              <w:right w:val="single" w:color="auto" w:sz="8" w:space="0"/>
            </w:tcBorders>
            <w:shd w:val="clear"/>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65" w:hRule="atLeast"/>
          <w:jc w:val="center"/>
        </w:trPr>
        <w:tc>
          <w:tcPr>
            <w:tcW w:w="456"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11</w:t>
            </w:r>
          </w:p>
        </w:tc>
        <w:tc>
          <w:tcPr>
            <w:tcW w:w="1117"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银行汇票手续费</w:t>
            </w:r>
          </w:p>
        </w:tc>
        <w:tc>
          <w:tcPr>
            <w:tcW w:w="194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为个人或对公客户办理银行汇票业务</w:t>
            </w:r>
          </w:p>
        </w:tc>
        <w:tc>
          <w:tcPr>
            <w:tcW w:w="361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每笔不超过1元</w:t>
            </w:r>
          </w:p>
        </w:tc>
        <w:tc>
          <w:tcPr>
            <w:tcW w:w="839"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政府指导价</w:t>
            </w:r>
          </w:p>
        </w:tc>
        <w:tc>
          <w:tcPr>
            <w:tcW w:w="1099" w:type="dxa"/>
            <w:tcBorders>
              <w:top w:val="nil"/>
              <w:left w:val="nil"/>
              <w:bottom w:val="single" w:color="auto" w:sz="8" w:space="0"/>
              <w:right w:val="single" w:color="auto" w:sz="8" w:space="0"/>
            </w:tcBorders>
            <w:shd w:val="clear"/>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65" w:hRule="atLeast"/>
          <w:jc w:val="center"/>
        </w:trPr>
        <w:tc>
          <w:tcPr>
            <w:tcW w:w="456" w:type="dxa"/>
            <w:tcBorders>
              <w:top w:val="single" w:color="auto" w:sz="8" w:space="0"/>
              <w:left w:val="single" w:color="auto" w:sz="8" w:space="0"/>
              <w:bottom w:val="single" w:color="auto" w:sz="8" w:space="0"/>
              <w:right w:val="single" w:color="auto" w:sz="8" w:space="0"/>
            </w:tcBorders>
            <w:shd w:val="clear"/>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12</w:t>
            </w:r>
          </w:p>
        </w:tc>
        <w:tc>
          <w:tcPr>
            <w:tcW w:w="1117"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银行汇票挂失费</w:t>
            </w:r>
          </w:p>
        </w:tc>
        <w:tc>
          <w:tcPr>
            <w:tcW w:w="1949"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为个人或对公客户办理银行汇票挂失</w:t>
            </w:r>
          </w:p>
        </w:tc>
        <w:tc>
          <w:tcPr>
            <w:tcW w:w="3618"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pPr>
            <w:r>
              <w:rPr>
                <w:rFonts w:ascii="宋体" w:hAnsi="宋体" w:eastAsia="宋体" w:cs="宋体"/>
                <w:kern w:val="0"/>
                <w:sz w:val="24"/>
                <w:szCs w:val="24"/>
                <w:bdr w:val="none" w:color="auto" w:sz="0" w:space="0"/>
                <w:lang w:val="en-US" w:eastAsia="zh-CN" w:bidi="ar"/>
              </w:rPr>
              <w:t>按票面金额0.1%（不足5元收取5元）</w:t>
            </w:r>
          </w:p>
        </w:tc>
        <w:tc>
          <w:tcPr>
            <w:tcW w:w="0" w:type="auto"/>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政府</w:t>
            </w:r>
            <w:r>
              <w:rPr>
                <w:rFonts w:hint="eastAsia" w:ascii="宋体" w:hAnsi="宋体" w:eastAsia="宋体" w:cs="宋体"/>
                <w:kern w:val="0"/>
                <w:sz w:val="24"/>
                <w:szCs w:val="24"/>
                <w:lang w:val="en-US" w:eastAsia="zh-CN" w:bidi="ar"/>
              </w:rPr>
              <w:t>定</w:t>
            </w:r>
            <w:r>
              <w:rPr>
                <w:rFonts w:ascii="宋体" w:hAnsi="宋体" w:eastAsia="宋体" w:cs="宋体"/>
                <w:kern w:val="0"/>
                <w:sz w:val="24"/>
                <w:szCs w:val="24"/>
                <w:lang w:val="en-US" w:eastAsia="zh-CN" w:bidi="ar"/>
              </w:rPr>
              <w:t>价</w:t>
            </w:r>
          </w:p>
        </w:tc>
        <w:tc>
          <w:tcPr>
            <w:tcW w:w="0" w:type="auto"/>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65" w:hRule="atLeast"/>
          <w:jc w:val="center"/>
        </w:trPr>
        <w:tc>
          <w:tcPr>
            <w:tcW w:w="456" w:type="dxa"/>
            <w:tcBorders>
              <w:top w:val="single" w:color="auto" w:sz="8" w:space="0"/>
              <w:left w:val="single" w:color="auto" w:sz="8" w:space="0"/>
              <w:bottom w:val="single" w:color="auto" w:sz="8" w:space="0"/>
              <w:right w:val="single" w:color="auto" w:sz="8" w:space="0"/>
            </w:tcBorders>
            <w:shd w:val="clear"/>
            <w:noWrap/>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宋体" w:hAnsi="宋体" w:eastAsia="宋体" w:cs="宋体"/>
                <w:kern w:val="0"/>
                <w:sz w:val="24"/>
                <w:szCs w:val="24"/>
                <w:bdr w:val="none" w:color="auto" w:sz="0" w:space="0"/>
                <w:lang w:val="en-US" w:eastAsia="zh-CN" w:bidi="ar"/>
              </w:rPr>
            </w:pPr>
            <w:r>
              <w:rPr>
                <w:rFonts w:hint="eastAsia" w:ascii="宋体" w:hAnsi="宋体" w:eastAsia="宋体" w:cs="宋体"/>
                <w:kern w:val="0"/>
                <w:sz w:val="24"/>
                <w:szCs w:val="24"/>
                <w:bdr w:val="none" w:color="auto" w:sz="0" w:space="0"/>
                <w:lang w:val="en-US" w:eastAsia="zh-CN" w:bidi="ar"/>
              </w:rPr>
              <w:t>13</w:t>
            </w:r>
          </w:p>
        </w:tc>
        <w:tc>
          <w:tcPr>
            <w:tcW w:w="1117"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宋体" w:hAnsi="宋体" w:eastAsia="宋体" w:cs="宋体"/>
                <w:kern w:val="0"/>
                <w:sz w:val="24"/>
                <w:szCs w:val="24"/>
                <w:bdr w:val="none" w:color="auto" w:sz="0" w:space="0"/>
                <w:lang w:val="en-US" w:eastAsia="zh-CN" w:bidi="ar"/>
              </w:rPr>
            </w:pPr>
            <w:r>
              <w:rPr>
                <w:rFonts w:hint="eastAsia" w:ascii="宋体" w:hAnsi="宋体" w:eastAsia="宋体" w:cs="宋体"/>
                <w:kern w:val="0"/>
                <w:sz w:val="24"/>
                <w:szCs w:val="24"/>
                <w:bdr w:val="none" w:color="auto" w:sz="0" w:space="0"/>
                <w:lang w:val="en-US" w:eastAsia="zh-CN" w:bidi="ar"/>
              </w:rPr>
              <w:t>银行汇票工本费</w:t>
            </w:r>
          </w:p>
        </w:tc>
        <w:tc>
          <w:tcPr>
            <w:tcW w:w="1949"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宋体" w:hAnsi="宋体" w:eastAsia="宋体" w:cs="宋体"/>
                <w:kern w:val="0"/>
                <w:sz w:val="24"/>
                <w:szCs w:val="24"/>
                <w:bdr w:val="none" w:color="auto" w:sz="0" w:space="0"/>
                <w:lang w:val="en-US" w:eastAsia="zh-CN" w:bidi="ar"/>
              </w:rPr>
            </w:pPr>
            <w:r>
              <w:rPr>
                <w:rFonts w:hint="eastAsia" w:ascii="宋体" w:hAnsi="宋体" w:eastAsia="宋体" w:cs="宋体"/>
                <w:kern w:val="0"/>
                <w:sz w:val="24"/>
                <w:szCs w:val="24"/>
                <w:bdr w:val="none" w:color="auto" w:sz="0" w:space="0"/>
                <w:lang w:val="en-US" w:eastAsia="zh-CN" w:bidi="ar"/>
              </w:rPr>
              <w:t>出售给个人或对公客户的银行汇票凭证</w:t>
            </w:r>
          </w:p>
        </w:tc>
        <w:tc>
          <w:tcPr>
            <w:tcW w:w="3618" w:type="dxa"/>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宋体" w:hAnsi="宋体" w:eastAsia="宋体" w:cs="宋体"/>
                <w:kern w:val="0"/>
                <w:sz w:val="24"/>
                <w:szCs w:val="24"/>
                <w:bdr w:val="none" w:color="auto" w:sz="0" w:space="0"/>
                <w:lang w:val="en-US" w:eastAsia="zh-CN" w:bidi="ar"/>
              </w:rPr>
            </w:pPr>
            <w:r>
              <w:rPr>
                <w:rFonts w:hint="eastAsia" w:ascii="宋体" w:hAnsi="宋体" w:eastAsia="宋体" w:cs="宋体"/>
                <w:kern w:val="0"/>
                <w:sz w:val="24"/>
                <w:szCs w:val="24"/>
                <w:bdr w:val="none" w:color="auto" w:sz="0" w:space="0"/>
                <w:lang w:val="en-US" w:eastAsia="zh-CN" w:bidi="ar"/>
              </w:rPr>
              <w:t>每份0.48元</w:t>
            </w:r>
          </w:p>
        </w:tc>
        <w:tc>
          <w:tcPr>
            <w:tcW w:w="0" w:type="auto"/>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政府定价</w:t>
            </w:r>
          </w:p>
        </w:tc>
        <w:tc>
          <w:tcPr>
            <w:tcW w:w="0" w:type="auto"/>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ascii="宋体" w:hAnsi="宋体" w:eastAsia="宋体" w:cs="宋体"/>
                <w:kern w:val="0"/>
                <w:sz w:val="24"/>
                <w:szCs w:val="24"/>
                <w:lang w:val="en-US" w:eastAsia="zh-CN" w:bidi="ar"/>
              </w:rPr>
            </w:pPr>
          </w:p>
        </w:tc>
      </w:tr>
    </w:tbl>
    <w:p>
      <w:pPr>
        <w:jc w:val="left"/>
        <w:rPr>
          <w:rFonts w:hint="eastAsia" w:ascii="楷体" w:hAnsi="楷体" w:eastAsia="楷体" w:cs="楷体"/>
          <w:i w:val="0"/>
          <w:iCs w:val="0"/>
          <w:caps w:val="0"/>
          <w:color w:val="333333"/>
          <w:spacing w:val="0"/>
          <w:kern w:val="0"/>
          <w:sz w:val="24"/>
          <w:szCs w:val="24"/>
          <w:shd w:val="clear" w:fill="FFFFFF"/>
          <w:lang w:val="en-US" w:eastAsia="zh-CN" w:bidi="ar"/>
        </w:rPr>
      </w:pPr>
    </w:p>
    <w:p>
      <w:pPr>
        <w:jc w:val="left"/>
        <w:rPr>
          <w:rFonts w:hint="default" w:ascii="楷体" w:hAnsi="楷体" w:eastAsia="楷体" w:cs="楷体"/>
          <w:i w:val="0"/>
          <w:iCs w:val="0"/>
          <w:caps w:val="0"/>
          <w:color w:val="333333"/>
          <w:spacing w:val="0"/>
          <w:kern w:val="0"/>
          <w:sz w:val="24"/>
          <w:szCs w:val="24"/>
          <w:shd w:val="clear" w:fill="FFFFFF"/>
          <w:lang w:val="en-US" w:eastAsia="zh-CN" w:bidi="ar"/>
        </w:rPr>
      </w:pPr>
      <w:r>
        <w:rPr>
          <w:rFonts w:hint="eastAsia" w:ascii="楷体" w:hAnsi="楷体" w:eastAsia="楷体" w:cs="楷体"/>
          <w:i w:val="0"/>
          <w:iCs w:val="0"/>
          <w:caps w:val="0"/>
          <w:color w:val="333333"/>
          <w:spacing w:val="0"/>
          <w:kern w:val="0"/>
          <w:sz w:val="24"/>
          <w:szCs w:val="24"/>
          <w:shd w:val="clear" w:fill="FFFFFF"/>
          <w:lang w:val="en-US" w:eastAsia="zh-CN" w:bidi="ar"/>
        </w:rPr>
        <w:t>注：商业银行办理个人跨行柜台转账汇款、对公跨行柜台转账汇款和个人现金汇款业务，汇款金额应不迟于2个工作日内到账（商业银行因不可控制的外部原因或存在技术条件制约导致资金不能到账或延迟到账、客户与商业银行有特别约定等情况除外）。若银行客户要求实时到账，收费标准在此基础上上浮不超过20%，但每笔最高收费标准不变。</w:t>
      </w:r>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133821"/>
    <w:rsid w:val="00091C16"/>
    <w:rsid w:val="00523E3D"/>
    <w:rsid w:val="005A1863"/>
    <w:rsid w:val="007973FF"/>
    <w:rsid w:val="00883FE0"/>
    <w:rsid w:val="009F67A0"/>
    <w:rsid w:val="00AE0DAA"/>
    <w:rsid w:val="00BF7E4E"/>
    <w:rsid w:val="00E9183E"/>
    <w:rsid w:val="01821CAC"/>
    <w:rsid w:val="02463B6D"/>
    <w:rsid w:val="02605F07"/>
    <w:rsid w:val="029D3B5C"/>
    <w:rsid w:val="02AC05C5"/>
    <w:rsid w:val="02B12DA9"/>
    <w:rsid w:val="02BB3FB6"/>
    <w:rsid w:val="02E96568"/>
    <w:rsid w:val="037747E4"/>
    <w:rsid w:val="03E26CDC"/>
    <w:rsid w:val="04CB3CD3"/>
    <w:rsid w:val="04F50C0B"/>
    <w:rsid w:val="05255F3A"/>
    <w:rsid w:val="052D46A7"/>
    <w:rsid w:val="05864CCF"/>
    <w:rsid w:val="05D01528"/>
    <w:rsid w:val="05D83C9A"/>
    <w:rsid w:val="06604E94"/>
    <w:rsid w:val="067513F5"/>
    <w:rsid w:val="06780DB1"/>
    <w:rsid w:val="06E322D0"/>
    <w:rsid w:val="071E0FF5"/>
    <w:rsid w:val="07440CC8"/>
    <w:rsid w:val="07C025AD"/>
    <w:rsid w:val="07C7789E"/>
    <w:rsid w:val="08000B9C"/>
    <w:rsid w:val="0819259C"/>
    <w:rsid w:val="0883268E"/>
    <w:rsid w:val="089009AB"/>
    <w:rsid w:val="08E96341"/>
    <w:rsid w:val="0900775E"/>
    <w:rsid w:val="092C6867"/>
    <w:rsid w:val="09D37F11"/>
    <w:rsid w:val="09FF548B"/>
    <w:rsid w:val="0A2A2C43"/>
    <w:rsid w:val="0A4C4516"/>
    <w:rsid w:val="0AB816A0"/>
    <w:rsid w:val="0AE20706"/>
    <w:rsid w:val="0B4944C2"/>
    <w:rsid w:val="0B914C29"/>
    <w:rsid w:val="0B9C4C69"/>
    <w:rsid w:val="0C1622CB"/>
    <w:rsid w:val="0C9F325A"/>
    <w:rsid w:val="0D0F5130"/>
    <w:rsid w:val="0DAE7C11"/>
    <w:rsid w:val="0DBD53E2"/>
    <w:rsid w:val="0E320FC4"/>
    <w:rsid w:val="0E480DF1"/>
    <w:rsid w:val="0E8A0E96"/>
    <w:rsid w:val="0E9D0F06"/>
    <w:rsid w:val="0F2F3B6C"/>
    <w:rsid w:val="0FA77FD2"/>
    <w:rsid w:val="0FF6000D"/>
    <w:rsid w:val="105949C2"/>
    <w:rsid w:val="105D3783"/>
    <w:rsid w:val="10F66965"/>
    <w:rsid w:val="120103E5"/>
    <w:rsid w:val="12147416"/>
    <w:rsid w:val="126964F3"/>
    <w:rsid w:val="12B856F8"/>
    <w:rsid w:val="12C43A0D"/>
    <w:rsid w:val="12C958C9"/>
    <w:rsid w:val="132C45E1"/>
    <w:rsid w:val="13307B5D"/>
    <w:rsid w:val="134C7968"/>
    <w:rsid w:val="139C287C"/>
    <w:rsid w:val="147B6D94"/>
    <w:rsid w:val="14B3071B"/>
    <w:rsid w:val="15295270"/>
    <w:rsid w:val="152D1178"/>
    <w:rsid w:val="153D53D9"/>
    <w:rsid w:val="156A74B8"/>
    <w:rsid w:val="15C32DE2"/>
    <w:rsid w:val="15C92317"/>
    <w:rsid w:val="15D46200"/>
    <w:rsid w:val="161B7469"/>
    <w:rsid w:val="162C047C"/>
    <w:rsid w:val="16374E96"/>
    <w:rsid w:val="1637617A"/>
    <w:rsid w:val="16505AE4"/>
    <w:rsid w:val="16F045AA"/>
    <w:rsid w:val="17FF2AF7"/>
    <w:rsid w:val="18396C57"/>
    <w:rsid w:val="185444FE"/>
    <w:rsid w:val="18620E12"/>
    <w:rsid w:val="186F4B52"/>
    <w:rsid w:val="19264671"/>
    <w:rsid w:val="193C4941"/>
    <w:rsid w:val="197D0010"/>
    <w:rsid w:val="19FC5A0E"/>
    <w:rsid w:val="1A1B2C7C"/>
    <w:rsid w:val="1A5E3774"/>
    <w:rsid w:val="1A660DEC"/>
    <w:rsid w:val="1A793200"/>
    <w:rsid w:val="1A7D1962"/>
    <w:rsid w:val="1A831C6C"/>
    <w:rsid w:val="1A9E5C1F"/>
    <w:rsid w:val="1AB2120D"/>
    <w:rsid w:val="1AB6059B"/>
    <w:rsid w:val="1AE157B4"/>
    <w:rsid w:val="1B0C3DC6"/>
    <w:rsid w:val="1B514107"/>
    <w:rsid w:val="1B67599C"/>
    <w:rsid w:val="1BDB38F5"/>
    <w:rsid w:val="1C4A2AB2"/>
    <w:rsid w:val="1C992AF3"/>
    <w:rsid w:val="1DAF5E4C"/>
    <w:rsid w:val="1DBB1F73"/>
    <w:rsid w:val="1DE63975"/>
    <w:rsid w:val="1E2B27CA"/>
    <w:rsid w:val="1E4F5F64"/>
    <w:rsid w:val="1E6271E4"/>
    <w:rsid w:val="1E8A23A7"/>
    <w:rsid w:val="1EC7379B"/>
    <w:rsid w:val="1EDD5972"/>
    <w:rsid w:val="1FCA6AD7"/>
    <w:rsid w:val="1FDD1D38"/>
    <w:rsid w:val="1FF70EF8"/>
    <w:rsid w:val="20220243"/>
    <w:rsid w:val="203F0933"/>
    <w:rsid w:val="20DF0CEB"/>
    <w:rsid w:val="20E3048C"/>
    <w:rsid w:val="20FF17EF"/>
    <w:rsid w:val="21182387"/>
    <w:rsid w:val="21210C48"/>
    <w:rsid w:val="21EF741F"/>
    <w:rsid w:val="21F34BEE"/>
    <w:rsid w:val="22221FFE"/>
    <w:rsid w:val="22694F5C"/>
    <w:rsid w:val="22A31794"/>
    <w:rsid w:val="22A949FD"/>
    <w:rsid w:val="22F13091"/>
    <w:rsid w:val="237877B2"/>
    <w:rsid w:val="241C09A6"/>
    <w:rsid w:val="24881C8A"/>
    <w:rsid w:val="24992352"/>
    <w:rsid w:val="24ED4549"/>
    <w:rsid w:val="25262DC6"/>
    <w:rsid w:val="254215AE"/>
    <w:rsid w:val="255D41DA"/>
    <w:rsid w:val="25677973"/>
    <w:rsid w:val="257F667B"/>
    <w:rsid w:val="2638000E"/>
    <w:rsid w:val="264F630A"/>
    <w:rsid w:val="26624FB4"/>
    <w:rsid w:val="26F25512"/>
    <w:rsid w:val="273349A9"/>
    <w:rsid w:val="27563905"/>
    <w:rsid w:val="2784272E"/>
    <w:rsid w:val="286C5B8E"/>
    <w:rsid w:val="28E735F9"/>
    <w:rsid w:val="297A630F"/>
    <w:rsid w:val="29922B32"/>
    <w:rsid w:val="29CB5F26"/>
    <w:rsid w:val="2A1B6671"/>
    <w:rsid w:val="2AAC3828"/>
    <w:rsid w:val="2B101182"/>
    <w:rsid w:val="2B1705CA"/>
    <w:rsid w:val="2B304858"/>
    <w:rsid w:val="2BA65497"/>
    <w:rsid w:val="2BB00503"/>
    <w:rsid w:val="2BC302F8"/>
    <w:rsid w:val="2C1C567B"/>
    <w:rsid w:val="2C4A4F06"/>
    <w:rsid w:val="2C9F11BB"/>
    <w:rsid w:val="2CB94515"/>
    <w:rsid w:val="2CD80364"/>
    <w:rsid w:val="2D5608E4"/>
    <w:rsid w:val="2D89162D"/>
    <w:rsid w:val="2D8C01B0"/>
    <w:rsid w:val="2D9B4332"/>
    <w:rsid w:val="2E026B82"/>
    <w:rsid w:val="2EAB7828"/>
    <w:rsid w:val="2EBD74EB"/>
    <w:rsid w:val="2EF52899"/>
    <w:rsid w:val="2F54148A"/>
    <w:rsid w:val="2F78260C"/>
    <w:rsid w:val="2F8E20C6"/>
    <w:rsid w:val="2FE43FE7"/>
    <w:rsid w:val="30667DAA"/>
    <w:rsid w:val="3071138A"/>
    <w:rsid w:val="308221E9"/>
    <w:rsid w:val="311436C2"/>
    <w:rsid w:val="31505F30"/>
    <w:rsid w:val="31743157"/>
    <w:rsid w:val="31CA7369"/>
    <w:rsid w:val="31DF5B7E"/>
    <w:rsid w:val="32064700"/>
    <w:rsid w:val="32133821"/>
    <w:rsid w:val="321361FC"/>
    <w:rsid w:val="32C604D9"/>
    <w:rsid w:val="32D05729"/>
    <w:rsid w:val="33245D99"/>
    <w:rsid w:val="338C5550"/>
    <w:rsid w:val="33B052AE"/>
    <w:rsid w:val="33CF7C4E"/>
    <w:rsid w:val="34024926"/>
    <w:rsid w:val="344A2E18"/>
    <w:rsid w:val="34C049D5"/>
    <w:rsid w:val="35E625A2"/>
    <w:rsid w:val="3733539E"/>
    <w:rsid w:val="37384CF3"/>
    <w:rsid w:val="37930C7D"/>
    <w:rsid w:val="37FD3924"/>
    <w:rsid w:val="38223008"/>
    <w:rsid w:val="38461281"/>
    <w:rsid w:val="38547AE8"/>
    <w:rsid w:val="38842E69"/>
    <w:rsid w:val="38BE4A0D"/>
    <w:rsid w:val="38D348C4"/>
    <w:rsid w:val="38F43541"/>
    <w:rsid w:val="38FC2C5A"/>
    <w:rsid w:val="392F3556"/>
    <w:rsid w:val="39641BDB"/>
    <w:rsid w:val="39DE279D"/>
    <w:rsid w:val="39FC0DAD"/>
    <w:rsid w:val="3A044D5A"/>
    <w:rsid w:val="3A2317B4"/>
    <w:rsid w:val="3A630F65"/>
    <w:rsid w:val="3AD56151"/>
    <w:rsid w:val="3B994FF7"/>
    <w:rsid w:val="3BB1725F"/>
    <w:rsid w:val="3BC73F56"/>
    <w:rsid w:val="3C6D77BB"/>
    <w:rsid w:val="3C721B71"/>
    <w:rsid w:val="3C760C29"/>
    <w:rsid w:val="3C8E1B1F"/>
    <w:rsid w:val="3CCF54AB"/>
    <w:rsid w:val="3CD158C5"/>
    <w:rsid w:val="3D195E42"/>
    <w:rsid w:val="3D6A2ED3"/>
    <w:rsid w:val="3DA7290A"/>
    <w:rsid w:val="3E1D6097"/>
    <w:rsid w:val="3E4435BA"/>
    <w:rsid w:val="3E541C0C"/>
    <w:rsid w:val="3E8861AC"/>
    <w:rsid w:val="3E892423"/>
    <w:rsid w:val="3EFA0EDD"/>
    <w:rsid w:val="3F755221"/>
    <w:rsid w:val="3F7C0591"/>
    <w:rsid w:val="3FA303AF"/>
    <w:rsid w:val="3FC41092"/>
    <w:rsid w:val="3FCC72B4"/>
    <w:rsid w:val="407F0200"/>
    <w:rsid w:val="40B55454"/>
    <w:rsid w:val="40BA4728"/>
    <w:rsid w:val="410F7A69"/>
    <w:rsid w:val="41577C1F"/>
    <w:rsid w:val="415805B5"/>
    <w:rsid w:val="41C77C36"/>
    <w:rsid w:val="421B6C0C"/>
    <w:rsid w:val="42874B47"/>
    <w:rsid w:val="428B0F99"/>
    <w:rsid w:val="42DD65AD"/>
    <w:rsid w:val="42EA6F27"/>
    <w:rsid w:val="42F233F1"/>
    <w:rsid w:val="43156B60"/>
    <w:rsid w:val="432E705A"/>
    <w:rsid w:val="43CC6D61"/>
    <w:rsid w:val="44122EEB"/>
    <w:rsid w:val="445F7AB9"/>
    <w:rsid w:val="44675826"/>
    <w:rsid w:val="44B2547F"/>
    <w:rsid w:val="44CD2F71"/>
    <w:rsid w:val="455145DA"/>
    <w:rsid w:val="456477CF"/>
    <w:rsid w:val="45A6533A"/>
    <w:rsid w:val="462E208D"/>
    <w:rsid w:val="469D03E2"/>
    <w:rsid w:val="46B2382A"/>
    <w:rsid w:val="46D86687"/>
    <w:rsid w:val="471072EE"/>
    <w:rsid w:val="47200AA3"/>
    <w:rsid w:val="474B2E6A"/>
    <w:rsid w:val="47637C2D"/>
    <w:rsid w:val="476C0E9C"/>
    <w:rsid w:val="477C6277"/>
    <w:rsid w:val="47D13714"/>
    <w:rsid w:val="48B97453"/>
    <w:rsid w:val="49095251"/>
    <w:rsid w:val="493A0F2E"/>
    <w:rsid w:val="4985798C"/>
    <w:rsid w:val="49A35C03"/>
    <w:rsid w:val="49AB4E9B"/>
    <w:rsid w:val="4A4D542C"/>
    <w:rsid w:val="4ABF3812"/>
    <w:rsid w:val="4B4A5A3F"/>
    <w:rsid w:val="4B57463B"/>
    <w:rsid w:val="4BD33D93"/>
    <w:rsid w:val="4BF264C4"/>
    <w:rsid w:val="4D247530"/>
    <w:rsid w:val="4D2D34F6"/>
    <w:rsid w:val="4D5A1789"/>
    <w:rsid w:val="4D8F5BB8"/>
    <w:rsid w:val="4DA17C4C"/>
    <w:rsid w:val="4DB30E11"/>
    <w:rsid w:val="4DE24AB0"/>
    <w:rsid w:val="4DE81DD7"/>
    <w:rsid w:val="4E2274F8"/>
    <w:rsid w:val="4E5F2ECC"/>
    <w:rsid w:val="4FF00A32"/>
    <w:rsid w:val="501B2A0C"/>
    <w:rsid w:val="50AB54FD"/>
    <w:rsid w:val="50B316C9"/>
    <w:rsid w:val="50BA1787"/>
    <w:rsid w:val="50D3741B"/>
    <w:rsid w:val="50EC077F"/>
    <w:rsid w:val="51095717"/>
    <w:rsid w:val="510A70E5"/>
    <w:rsid w:val="512408CF"/>
    <w:rsid w:val="513134FD"/>
    <w:rsid w:val="514E1535"/>
    <w:rsid w:val="51991BE2"/>
    <w:rsid w:val="520D10E0"/>
    <w:rsid w:val="52536E98"/>
    <w:rsid w:val="52714B1E"/>
    <w:rsid w:val="52C05F18"/>
    <w:rsid w:val="52F43EFA"/>
    <w:rsid w:val="53421140"/>
    <w:rsid w:val="534B1615"/>
    <w:rsid w:val="536D0059"/>
    <w:rsid w:val="538903E9"/>
    <w:rsid w:val="53B52B52"/>
    <w:rsid w:val="53C541B3"/>
    <w:rsid w:val="53EA3AAD"/>
    <w:rsid w:val="54061D84"/>
    <w:rsid w:val="540B558A"/>
    <w:rsid w:val="543B281D"/>
    <w:rsid w:val="5450449B"/>
    <w:rsid w:val="549C152D"/>
    <w:rsid w:val="550E06F3"/>
    <w:rsid w:val="55292E75"/>
    <w:rsid w:val="559D155F"/>
    <w:rsid w:val="55EB31A0"/>
    <w:rsid w:val="56047C0A"/>
    <w:rsid w:val="562C3775"/>
    <w:rsid w:val="568A467A"/>
    <w:rsid w:val="56A469E4"/>
    <w:rsid w:val="56E51844"/>
    <w:rsid w:val="56F75198"/>
    <w:rsid w:val="57985D58"/>
    <w:rsid w:val="57B17848"/>
    <w:rsid w:val="57BA1DB6"/>
    <w:rsid w:val="57DF437D"/>
    <w:rsid w:val="58446E8C"/>
    <w:rsid w:val="58561875"/>
    <w:rsid w:val="58A17D99"/>
    <w:rsid w:val="58AD068C"/>
    <w:rsid w:val="58FD43FD"/>
    <w:rsid w:val="590C1962"/>
    <w:rsid w:val="59700374"/>
    <w:rsid w:val="59D51C86"/>
    <w:rsid w:val="59FD47BD"/>
    <w:rsid w:val="5A6F7FBF"/>
    <w:rsid w:val="5AAA51D4"/>
    <w:rsid w:val="5AC55221"/>
    <w:rsid w:val="5B2832D8"/>
    <w:rsid w:val="5C7B16A6"/>
    <w:rsid w:val="5CCD6012"/>
    <w:rsid w:val="5D3025B0"/>
    <w:rsid w:val="5D7C4777"/>
    <w:rsid w:val="5E5D1B02"/>
    <w:rsid w:val="5E5F3F2F"/>
    <w:rsid w:val="5EEC00BC"/>
    <w:rsid w:val="5F234BB2"/>
    <w:rsid w:val="5F317764"/>
    <w:rsid w:val="5FE630D4"/>
    <w:rsid w:val="5FED0A12"/>
    <w:rsid w:val="5FFA59C9"/>
    <w:rsid w:val="60431256"/>
    <w:rsid w:val="608C007F"/>
    <w:rsid w:val="609D0829"/>
    <w:rsid w:val="60AB2A3B"/>
    <w:rsid w:val="60C051C1"/>
    <w:rsid w:val="60E726B6"/>
    <w:rsid w:val="61041640"/>
    <w:rsid w:val="61390B7F"/>
    <w:rsid w:val="627C0AC7"/>
    <w:rsid w:val="62C537C5"/>
    <w:rsid w:val="62E35A0E"/>
    <w:rsid w:val="636D673A"/>
    <w:rsid w:val="63B05ABD"/>
    <w:rsid w:val="63F905AF"/>
    <w:rsid w:val="64B32A64"/>
    <w:rsid w:val="64CE56A7"/>
    <w:rsid w:val="65640D2E"/>
    <w:rsid w:val="658F2F6A"/>
    <w:rsid w:val="6590180D"/>
    <w:rsid w:val="65977E7A"/>
    <w:rsid w:val="659C7E36"/>
    <w:rsid w:val="662C276C"/>
    <w:rsid w:val="66C55C42"/>
    <w:rsid w:val="67037EFE"/>
    <w:rsid w:val="6724545D"/>
    <w:rsid w:val="679B3B7A"/>
    <w:rsid w:val="67A034EB"/>
    <w:rsid w:val="67CA03D2"/>
    <w:rsid w:val="67DE145D"/>
    <w:rsid w:val="67F24868"/>
    <w:rsid w:val="68303A86"/>
    <w:rsid w:val="68F17830"/>
    <w:rsid w:val="6972149E"/>
    <w:rsid w:val="69A478C1"/>
    <w:rsid w:val="69AD4DC5"/>
    <w:rsid w:val="6A776786"/>
    <w:rsid w:val="6ADE63E2"/>
    <w:rsid w:val="6AF017DB"/>
    <w:rsid w:val="6B1D72B0"/>
    <w:rsid w:val="6B5D6DE4"/>
    <w:rsid w:val="6B615D5C"/>
    <w:rsid w:val="6B6D17AE"/>
    <w:rsid w:val="6BC71B96"/>
    <w:rsid w:val="6BCC0A60"/>
    <w:rsid w:val="6BE57277"/>
    <w:rsid w:val="6BF004DC"/>
    <w:rsid w:val="6C177A00"/>
    <w:rsid w:val="6C8F130B"/>
    <w:rsid w:val="6C9427C0"/>
    <w:rsid w:val="6CC74FCC"/>
    <w:rsid w:val="6D1508EE"/>
    <w:rsid w:val="6DF72E21"/>
    <w:rsid w:val="6EBB4BE1"/>
    <w:rsid w:val="6F224A30"/>
    <w:rsid w:val="6FA45550"/>
    <w:rsid w:val="6FAF6661"/>
    <w:rsid w:val="6FB935CE"/>
    <w:rsid w:val="6FCA1B1E"/>
    <w:rsid w:val="70136854"/>
    <w:rsid w:val="70136DEE"/>
    <w:rsid w:val="70253256"/>
    <w:rsid w:val="70B86BD8"/>
    <w:rsid w:val="70EE573B"/>
    <w:rsid w:val="71346DD3"/>
    <w:rsid w:val="71667E4D"/>
    <w:rsid w:val="72000629"/>
    <w:rsid w:val="7281461D"/>
    <w:rsid w:val="7309692C"/>
    <w:rsid w:val="73130492"/>
    <w:rsid w:val="73195627"/>
    <w:rsid w:val="73771C33"/>
    <w:rsid w:val="73B84C60"/>
    <w:rsid w:val="73C600F6"/>
    <w:rsid w:val="74715549"/>
    <w:rsid w:val="747F0774"/>
    <w:rsid w:val="74901B61"/>
    <w:rsid w:val="74EB2F41"/>
    <w:rsid w:val="75070F8F"/>
    <w:rsid w:val="750C1C80"/>
    <w:rsid w:val="753535AA"/>
    <w:rsid w:val="75971529"/>
    <w:rsid w:val="75A757E1"/>
    <w:rsid w:val="75AD4DA0"/>
    <w:rsid w:val="75C155A2"/>
    <w:rsid w:val="76110DDC"/>
    <w:rsid w:val="762A59B7"/>
    <w:rsid w:val="76310DB6"/>
    <w:rsid w:val="763F2D7F"/>
    <w:rsid w:val="76857544"/>
    <w:rsid w:val="76952009"/>
    <w:rsid w:val="772448E8"/>
    <w:rsid w:val="77270546"/>
    <w:rsid w:val="77312F08"/>
    <w:rsid w:val="77331A78"/>
    <w:rsid w:val="777C68BD"/>
    <w:rsid w:val="77A05FB7"/>
    <w:rsid w:val="7803206E"/>
    <w:rsid w:val="783D6EEE"/>
    <w:rsid w:val="783F57C7"/>
    <w:rsid w:val="78681BDF"/>
    <w:rsid w:val="78730AEE"/>
    <w:rsid w:val="788F5D70"/>
    <w:rsid w:val="78993A6A"/>
    <w:rsid w:val="791729E0"/>
    <w:rsid w:val="796A7A62"/>
    <w:rsid w:val="799C0001"/>
    <w:rsid w:val="79AC1F4D"/>
    <w:rsid w:val="79E412FF"/>
    <w:rsid w:val="7A17653D"/>
    <w:rsid w:val="7A187F10"/>
    <w:rsid w:val="7A236782"/>
    <w:rsid w:val="7A5D2432"/>
    <w:rsid w:val="7AB95912"/>
    <w:rsid w:val="7AD917E3"/>
    <w:rsid w:val="7AF34CCE"/>
    <w:rsid w:val="7B564427"/>
    <w:rsid w:val="7B707B15"/>
    <w:rsid w:val="7B8F517D"/>
    <w:rsid w:val="7B9037EC"/>
    <w:rsid w:val="7BED31B4"/>
    <w:rsid w:val="7CC21646"/>
    <w:rsid w:val="7D296201"/>
    <w:rsid w:val="7D395656"/>
    <w:rsid w:val="7E1F7E25"/>
    <w:rsid w:val="7E313539"/>
    <w:rsid w:val="7E494B5E"/>
    <w:rsid w:val="7F354DE7"/>
    <w:rsid w:val="7F522D09"/>
    <w:rsid w:val="7FC1100F"/>
    <w:rsid w:val="7FF53C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2024-06-13T06:15:00Z</dcterms:created>
  <dc:creator>yjy</dc:creator>
  <cp:lastModifiedBy>yjy</cp:lastModifiedBy>
  <dcterms:modified xsi:type="dcterms:W3CDTF">2024-06-13T06:46:49Z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8A0BB352296F47F3A27FA0BBB439D0E3</vt:lpwstr>
  </property>
</Properties>
</file>